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0A5F" w:rsidRPr="000864FA" w:rsidRDefault="0009445A">
      <w:pPr>
        <w:rPr>
          <w:b/>
          <w:lang w:val="en-US"/>
        </w:rPr>
      </w:pPr>
      <w:r w:rsidRPr="000864FA">
        <w:rPr>
          <w:b/>
          <w:lang w:val="en-US"/>
        </w:rPr>
        <w:t>Test operation of a novel Time-Of-Flight mass spectrometer on the gas exhaust of Wendelstein 7-X</w:t>
      </w:r>
    </w:p>
    <w:p w:rsidR="0009445A" w:rsidRDefault="0009445A">
      <w:r w:rsidRPr="0009445A">
        <w:t>G. Schlisio</w:t>
      </w:r>
      <w:r w:rsidR="00FA149D" w:rsidRPr="00FA149D">
        <w:rPr>
          <w:vertAlign w:val="superscript"/>
        </w:rPr>
        <w:t>1</w:t>
      </w:r>
      <w:r w:rsidRPr="0009445A">
        <w:t>, S. Gasc</w:t>
      </w:r>
      <w:r w:rsidR="00FA149D" w:rsidRPr="00FA149D">
        <w:rPr>
          <w:vertAlign w:val="superscript"/>
        </w:rPr>
        <w:t>2</w:t>
      </w:r>
      <w:r w:rsidRPr="0009445A">
        <w:t>, L. H</w:t>
      </w:r>
      <w:r>
        <w:t>ofer</w:t>
      </w:r>
      <w:r w:rsidR="00FA149D" w:rsidRPr="00FA149D">
        <w:rPr>
          <w:vertAlign w:val="superscript"/>
        </w:rPr>
        <w:t>2</w:t>
      </w:r>
      <w:r>
        <w:t>, C.C. Klepper</w:t>
      </w:r>
      <w:r w:rsidR="00FA149D" w:rsidRPr="00FA149D">
        <w:rPr>
          <w:vertAlign w:val="superscript"/>
        </w:rPr>
        <w:t>3</w:t>
      </w:r>
      <w:r>
        <w:t xml:space="preserve">, </w:t>
      </w:r>
      <w:r w:rsidRPr="009E0299">
        <w:rPr>
          <w:color w:val="FF0000"/>
        </w:rPr>
        <w:t>…</w:t>
      </w:r>
      <w:r>
        <w:t xml:space="preserve"> </w:t>
      </w:r>
      <w:proofErr w:type="spellStart"/>
      <w:r>
        <w:t>and</w:t>
      </w:r>
      <w:proofErr w:type="spellEnd"/>
      <w:r>
        <w:t xml:space="preserve"> W7-X </w:t>
      </w:r>
      <w:proofErr w:type="spellStart"/>
      <w:r>
        <w:t>Team</w:t>
      </w:r>
      <w:r w:rsidR="00FA149D" w:rsidRPr="00FA149D">
        <w:rPr>
          <w:vertAlign w:val="superscript"/>
        </w:rPr>
        <w:t>a</w:t>
      </w:r>
      <w:proofErr w:type="spellEnd"/>
    </w:p>
    <w:p w:rsidR="0009445A" w:rsidRDefault="0009445A"/>
    <w:p w:rsidR="00FA149D" w:rsidRDefault="00FA149D">
      <w:r>
        <w:t>1 Max-Planck-Institut für Plasmaphysik, Wendelsteinstr. 1, 17489 Greifswald, Germany</w:t>
      </w:r>
    </w:p>
    <w:p w:rsidR="00FA149D" w:rsidRDefault="00FA149D">
      <w:r>
        <w:t xml:space="preserve">2 </w:t>
      </w:r>
      <w:proofErr w:type="spellStart"/>
      <w:r>
        <w:t>Spacetek</w:t>
      </w:r>
      <w:proofErr w:type="spellEnd"/>
      <w:r>
        <w:t xml:space="preserve"> Technology AG, </w:t>
      </w:r>
      <w:proofErr w:type="spellStart"/>
      <w:r>
        <w:t>Brüggliweg</w:t>
      </w:r>
      <w:proofErr w:type="spellEnd"/>
      <w:r>
        <w:t xml:space="preserve"> 18, 3073 </w:t>
      </w:r>
      <w:proofErr w:type="spellStart"/>
      <w:r>
        <w:t>Gümligen</w:t>
      </w:r>
      <w:proofErr w:type="spellEnd"/>
      <w:r>
        <w:t xml:space="preserve">, </w:t>
      </w:r>
      <w:proofErr w:type="spellStart"/>
      <w:r>
        <w:t>Switzerland</w:t>
      </w:r>
      <w:proofErr w:type="spellEnd"/>
    </w:p>
    <w:p w:rsidR="00FA149D" w:rsidRPr="00FA149D" w:rsidRDefault="00FA149D">
      <w:pPr>
        <w:rPr>
          <w:lang w:val="en-US"/>
        </w:rPr>
      </w:pPr>
      <w:r w:rsidRPr="00FA149D">
        <w:rPr>
          <w:lang w:val="en-US"/>
        </w:rPr>
        <w:t>3 Oak</w:t>
      </w:r>
      <w:r w:rsidR="00A22338">
        <w:rPr>
          <w:lang w:val="en-US"/>
        </w:rPr>
        <w:t xml:space="preserve"> R</w:t>
      </w:r>
      <w:r w:rsidRPr="00FA149D">
        <w:rPr>
          <w:lang w:val="en-US"/>
        </w:rPr>
        <w:t>idge National Laboratory, Oak</w:t>
      </w:r>
      <w:r w:rsidR="00A22338">
        <w:rPr>
          <w:lang w:val="en-US"/>
        </w:rPr>
        <w:t xml:space="preserve"> R</w:t>
      </w:r>
      <w:r w:rsidR="009E0299">
        <w:rPr>
          <w:lang w:val="en-US"/>
        </w:rPr>
        <w:t>idge</w:t>
      </w:r>
      <w:bookmarkStart w:id="0" w:name="_GoBack"/>
      <w:bookmarkEnd w:id="0"/>
      <w:r w:rsidRPr="00FA149D">
        <w:rPr>
          <w:lang w:val="en-US"/>
        </w:rPr>
        <w:t xml:space="preserve">, </w:t>
      </w:r>
      <w:proofErr w:type="spellStart"/>
      <w:r w:rsidRPr="00FA149D">
        <w:rPr>
          <w:lang w:val="en-US"/>
        </w:rPr>
        <w:t>Tennesse</w:t>
      </w:r>
      <w:proofErr w:type="spellEnd"/>
      <w:r w:rsidR="009E0299">
        <w:rPr>
          <w:lang w:val="en-US"/>
        </w:rPr>
        <w:t xml:space="preserve"> </w:t>
      </w:r>
      <w:r w:rsidR="009E0299" w:rsidRPr="009E0299">
        <w:rPr>
          <w:lang w:val="en-US"/>
        </w:rPr>
        <w:t>37831</w:t>
      </w:r>
      <w:r w:rsidRPr="00FA149D">
        <w:rPr>
          <w:lang w:val="en-US"/>
        </w:rPr>
        <w:t>, USA</w:t>
      </w:r>
    </w:p>
    <w:p w:rsidR="00FA149D" w:rsidRPr="00FA149D" w:rsidRDefault="00FA149D">
      <w:pPr>
        <w:rPr>
          <w:lang w:val="en-US"/>
        </w:rPr>
      </w:pPr>
      <w:proofErr w:type="spellStart"/>
      <w:proofErr w:type="gramStart"/>
      <w:r w:rsidRPr="00FA149D">
        <w:rPr>
          <w:lang w:val="en-US"/>
        </w:rPr>
        <w:t>a</w:t>
      </w:r>
      <w:proofErr w:type="spellEnd"/>
      <w:proofErr w:type="gramEnd"/>
      <w:r w:rsidRPr="00FA149D">
        <w:rPr>
          <w:lang w:val="en-US"/>
        </w:rPr>
        <w:t xml:space="preserve"> for full team list see </w:t>
      </w:r>
      <w:r>
        <w:rPr>
          <w:lang w:val="en-US"/>
        </w:rPr>
        <w:t>Pedersen NF2022, DOI…</w:t>
      </w:r>
    </w:p>
    <w:p w:rsidR="00FA149D" w:rsidRPr="00FA149D" w:rsidRDefault="00FA149D">
      <w:pPr>
        <w:rPr>
          <w:lang w:val="en-US"/>
        </w:rPr>
      </w:pPr>
    </w:p>
    <w:p w:rsidR="0009445A" w:rsidRPr="00FA149D" w:rsidRDefault="0009445A">
      <w:pPr>
        <w:rPr>
          <w:b/>
          <w:lang w:val="en-US"/>
        </w:rPr>
      </w:pPr>
      <w:r w:rsidRPr="00FA149D">
        <w:rPr>
          <w:b/>
          <w:lang w:val="en-US"/>
        </w:rPr>
        <w:t>Abstract</w:t>
      </w:r>
    </w:p>
    <w:p w:rsidR="0009445A" w:rsidRDefault="002C48CC">
      <w:pPr>
        <w:rPr>
          <w:lang w:val="en-US"/>
        </w:rPr>
      </w:pPr>
      <w:r>
        <w:rPr>
          <w:lang w:val="en-US"/>
        </w:rPr>
        <w:t>A novel time-of-flight mass spectrometer was operated in Wendelstein 7-X, a magnetic confinement fusion (MCF) experiment, to assess the suitability and limitations in the use for gas exhaust analysis in MCF devices. With a focus on high mass resolution sufficient for isotope separation, the permanent presence of magnetic field and a need for fast time resolution MCF</w:t>
      </w:r>
      <w:r w:rsidR="00A22338">
        <w:rPr>
          <w:lang w:val="en-US"/>
        </w:rPr>
        <w:t xml:space="preserve"> presents a challenging environment for the operation of such devices.</w:t>
      </w:r>
    </w:p>
    <w:p w:rsidR="00A22338" w:rsidRPr="009E0299" w:rsidRDefault="007D7EF7">
      <w:pPr>
        <w:rPr>
          <w:color w:val="FF0000"/>
          <w:lang w:val="en-US"/>
        </w:rPr>
      </w:pPr>
      <w:r w:rsidRPr="009E0299">
        <w:rPr>
          <w:color w:val="FF0000"/>
          <w:lang w:val="en-US"/>
        </w:rPr>
        <w:t>…</w:t>
      </w:r>
    </w:p>
    <w:p w:rsidR="00A22338" w:rsidRDefault="00A22338">
      <w:pPr>
        <w:rPr>
          <w:lang w:val="en-US"/>
        </w:rPr>
      </w:pPr>
    </w:p>
    <w:p w:rsidR="0009445A" w:rsidRPr="00FA149D" w:rsidRDefault="0009445A">
      <w:pPr>
        <w:rPr>
          <w:b/>
          <w:lang w:val="en-US"/>
        </w:rPr>
      </w:pPr>
      <w:r w:rsidRPr="00FA149D">
        <w:rPr>
          <w:b/>
          <w:lang w:val="en-US"/>
        </w:rPr>
        <w:t>Introduction</w:t>
      </w:r>
    </w:p>
    <w:p w:rsidR="002C48CC" w:rsidRDefault="002C48CC">
      <w:pPr>
        <w:rPr>
          <w:lang w:val="en-US"/>
        </w:rPr>
      </w:pPr>
      <w:r>
        <w:rPr>
          <w:lang w:val="en-US"/>
        </w:rPr>
        <w:t>Mass spectrometers of various measurement principles are indispensable in many applications, vacuum qualit</w:t>
      </w:r>
      <w:r>
        <w:rPr>
          <w:lang w:val="en-US"/>
        </w:rPr>
        <w:t>y monitoring and gas composition being a prominent one.</w:t>
      </w:r>
    </w:p>
    <w:p w:rsidR="002C48CC" w:rsidRDefault="002C48CC">
      <w:pPr>
        <w:rPr>
          <w:lang w:val="en-US"/>
        </w:rPr>
      </w:pPr>
      <w:r>
        <w:rPr>
          <w:lang w:val="en-US"/>
        </w:rPr>
        <w:t>Wendelstein 7-X (W7X) is an optimized modular stellarator experiment dedicated to magnetic confinement fusion research in high-temperature plasmas</w:t>
      </w:r>
      <w:r w:rsidR="007D7EF7">
        <w:rPr>
          <w:lang w:val="en-US"/>
        </w:rPr>
        <w:t xml:space="preserve"> </w:t>
      </w:r>
      <w:r w:rsidR="007D7EF7" w:rsidRPr="009E0299">
        <w:rPr>
          <w:color w:val="FF0000"/>
          <w:lang w:val="en-US"/>
        </w:rPr>
        <w:t>[TODO reference</w:t>
      </w:r>
      <w:r w:rsidR="007D7EF7">
        <w:rPr>
          <w:lang w:val="en-US"/>
        </w:rPr>
        <w:t>]</w:t>
      </w:r>
      <w:r>
        <w:rPr>
          <w:lang w:val="en-US"/>
        </w:rPr>
        <w:t>.</w:t>
      </w:r>
    </w:p>
    <w:p w:rsidR="0009445A" w:rsidRDefault="00FA149D">
      <w:pPr>
        <w:rPr>
          <w:lang w:val="en-US"/>
        </w:rPr>
      </w:pPr>
      <w:r w:rsidRPr="00FA149D">
        <w:rPr>
          <w:lang w:val="en-US"/>
        </w:rPr>
        <w:t>Time-of-flight mass spectrometers</w:t>
      </w:r>
      <w:r>
        <w:rPr>
          <w:lang w:val="en-US"/>
        </w:rPr>
        <w:t xml:space="preserve"> (TOF-MS) measure mass to charge ratio m/z by accelerating ions against a retarding field and measure the response time in a detector. The flight time is directly proportional to the ions m/z ratio, which allows the mass-resolved measurement of the injected ions.</w:t>
      </w:r>
    </w:p>
    <w:p w:rsidR="00FA149D" w:rsidRPr="009E0299" w:rsidRDefault="00FA149D">
      <w:pPr>
        <w:rPr>
          <w:color w:val="FF0000"/>
          <w:lang w:val="en-US"/>
        </w:rPr>
      </w:pPr>
      <w:r>
        <w:rPr>
          <w:lang w:val="en-US"/>
        </w:rPr>
        <w:t xml:space="preserve">The </w:t>
      </w:r>
      <w:proofErr w:type="spellStart"/>
      <w:r>
        <w:rPr>
          <w:lang w:val="en-US"/>
        </w:rPr>
        <w:t>IonTamer</w:t>
      </w:r>
      <w:proofErr w:type="spellEnd"/>
      <w:r>
        <w:rPr>
          <w:rFonts w:cstheme="minorHAnsi"/>
          <w:lang w:val="en-US"/>
        </w:rPr>
        <w:t>®</w:t>
      </w:r>
      <w:r>
        <w:rPr>
          <w:lang w:val="en-US"/>
        </w:rPr>
        <w:t xml:space="preserve"> FA </w:t>
      </w:r>
      <w:r w:rsidR="004327D4">
        <w:rPr>
          <w:lang w:val="en-US"/>
        </w:rPr>
        <w:t xml:space="preserve">(ITFA) </w:t>
      </w:r>
      <w:r>
        <w:rPr>
          <w:lang w:val="en-US"/>
        </w:rPr>
        <w:t>is a novel TOF-MS</w:t>
      </w:r>
      <w:r w:rsidR="004327D4">
        <w:rPr>
          <w:lang w:val="en-US"/>
        </w:rPr>
        <w:t xml:space="preserve"> </w:t>
      </w:r>
      <w:r w:rsidR="004327D4" w:rsidRPr="009E0299">
        <w:rPr>
          <w:color w:val="FF0000"/>
          <w:lang w:val="en-US"/>
        </w:rPr>
        <w:t>&lt;put properties here&gt;. #TODO</w:t>
      </w:r>
    </w:p>
    <w:p w:rsidR="00210A5F" w:rsidRDefault="00210A5F">
      <w:pPr>
        <w:rPr>
          <w:lang w:val="en-US"/>
        </w:rPr>
      </w:pPr>
      <w:r w:rsidRPr="00210A5F">
        <w:rPr>
          <w:lang w:val="en-US"/>
        </w:rPr>
        <w:t>Possible applications of a fast high-resolution mass spectrometer in</w:t>
      </w:r>
      <w:r w:rsidR="00CA7C7C">
        <w:rPr>
          <w:lang w:val="en-US"/>
        </w:rPr>
        <w:t xml:space="preserve"> magnetic confine</w:t>
      </w:r>
      <w:r w:rsidR="002C48CC">
        <w:rPr>
          <w:lang w:val="en-US"/>
        </w:rPr>
        <w:t>ment</w:t>
      </w:r>
      <w:r w:rsidRPr="00210A5F">
        <w:rPr>
          <w:lang w:val="en-US"/>
        </w:rPr>
        <w:t xml:space="preserve"> fusion</w:t>
      </w:r>
      <w:r w:rsidR="00CA7C7C">
        <w:rPr>
          <w:lang w:val="en-US"/>
        </w:rPr>
        <w:t xml:space="preserve"> (MCF)</w:t>
      </w:r>
      <w:r w:rsidRPr="00210A5F">
        <w:rPr>
          <w:lang w:val="en-US"/>
        </w:rPr>
        <w:t xml:space="preserve"> research and future fusion reactors:</w:t>
      </w:r>
    </w:p>
    <w:p w:rsidR="00210A5F" w:rsidRDefault="00210A5F" w:rsidP="00210A5F">
      <w:pPr>
        <w:pStyle w:val="Listenabsatz"/>
        <w:numPr>
          <w:ilvl w:val="0"/>
          <w:numId w:val="1"/>
        </w:numPr>
        <w:rPr>
          <w:lang w:val="en-US"/>
        </w:rPr>
      </w:pPr>
      <w:r>
        <w:rPr>
          <w:lang w:val="en-US"/>
        </w:rPr>
        <w:t>Gas exhaust monitoring, especially accounting of DT fuel</w:t>
      </w:r>
    </w:p>
    <w:p w:rsidR="00210A5F" w:rsidRDefault="00210A5F" w:rsidP="00210A5F">
      <w:pPr>
        <w:pStyle w:val="Listenabsatz"/>
        <w:numPr>
          <w:ilvl w:val="0"/>
          <w:numId w:val="1"/>
        </w:numPr>
        <w:rPr>
          <w:lang w:val="en-US"/>
        </w:rPr>
      </w:pPr>
      <w:r>
        <w:rPr>
          <w:lang w:val="en-US"/>
        </w:rPr>
        <w:t xml:space="preserve">He exhaust monitoring </w:t>
      </w:r>
      <w:r w:rsidRPr="00210A5F">
        <w:rPr>
          <w:lang w:val="en-US"/>
        </w:rPr>
        <w:sym w:font="Wingdings" w:char="F0E0"/>
      </w:r>
      <w:r>
        <w:rPr>
          <w:lang w:val="en-US"/>
        </w:rPr>
        <w:t xml:space="preserve"> divertor effectivity</w:t>
      </w:r>
    </w:p>
    <w:p w:rsidR="00210A5F" w:rsidRPr="00210A5F" w:rsidRDefault="007D7EF7" w:rsidP="00210A5F">
      <w:pPr>
        <w:pStyle w:val="Listenabsatz"/>
        <w:numPr>
          <w:ilvl w:val="0"/>
          <w:numId w:val="1"/>
        </w:numPr>
        <w:rPr>
          <w:lang w:val="en-US"/>
        </w:rPr>
      </w:pPr>
      <w:r>
        <w:rPr>
          <w:lang w:val="en-US"/>
        </w:rPr>
        <w:t xml:space="preserve">Impurity monitoring </w:t>
      </w:r>
      <w:r w:rsidRPr="007D7EF7">
        <w:rPr>
          <w:lang w:val="en-US"/>
        </w:rPr>
        <w:sym w:font="Wingdings" w:char="F0E0"/>
      </w:r>
      <w:r>
        <w:rPr>
          <w:lang w:val="en-US"/>
        </w:rPr>
        <w:t xml:space="preserve"> assessment of plasma chemistry and vacuum quality</w:t>
      </w:r>
    </w:p>
    <w:p w:rsidR="00210A5F" w:rsidRDefault="00210A5F">
      <w:pPr>
        <w:rPr>
          <w:lang w:val="en-US"/>
        </w:rPr>
      </w:pPr>
    </w:p>
    <w:p w:rsidR="00A81417" w:rsidRPr="004327D4" w:rsidRDefault="00A81417">
      <w:pPr>
        <w:rPr>
          <w:b/>
          <w:lang w:val="en-US"/>
        </w:rPr>
      </w:pPr>
      <w:r w:rsidRPr="004327D4">
        <w:rPr>
          <w:b/>
          <w:lang w:val="en-US"/>
        </w:rPr>
        <w:t>Residual magnetic field influence on the TOF-MS measurement</w:t>
      </w:r>
    </w:p>
    <w:p w:rsidR="00A81417" w:rsidRDefault="00A81417">
      <w:pPr>
        <w:rPr>
          <w:lang w:val="en-US"/>
        </w:rPr>
      </w:pPr>
      <w:r>
        <w:rPr>
          <w:lang w:val="en-US"/>
        </w:rPr>
        <w:t>Many mass analyzers require free-streaming charged particles, and TOF-MS share this property. Fast free streaming particles are subject to a Lorentz force in a</w:t>
      </w:r>
      <w:r w:rsidR="00AC45E5">
        <w:rPr>
          <w:lang w:val="en-US"/>
        </w:rPr>
        <w:t xml:space="preserve"> magnetic field. While MCF employs toroidal fields with a quadrupole far field characteristics, residual fields of several </w:t>
      </w:r>
      <w:proofErr w:type="spellStart"/>
      <w:r w:rsidR="00AC45E5">
        <w:rPr>
          <w:lang w:val="en-US"/>
        </w:rPr>
        <w:t>mT</w:t>
      </w:r>
      <w:proofErr w:type="spellEnd"/>
      <w:r w:rsidR="00AC45E5">
        <w:rPr>
          <w:lang w:val="en-US"/>
        </w:rPr>
        <w:t xml:space="preserve"> </w:t>
      </w:r>
      <w:proofErr w:type="gramStart"/>
      <w:r w:rsidR="00AC45E5">
        <w:rPr>
          <w:lang w:val="en-US"/>
        </w:rPr>
        <w:t>cannot entirely be avoided</w:t>
      </w:r>
      <w:proofErr w:type="gramEnd"/>
      <w:r w:rsidR="00AC45E5">
        <w:rPr>
          <w:lang w:val="en-US"/>
        </w:rPr>
        <w:t xml:space="preserve"> at reasonable distance of the torus system. Therefore, magnetic shielding </w:t>
      </w:r>
      <w:proofErr w:type="gramStart"/>
      <w:r w:rsidR="00AC45E5">
        <w:rPr>
          <w:lang w:val="en-US"/>
        </w:rPr>
        <w:t>is frequently employed</w:t>
      </w:r>
      <w:proofErr w:type="gramEnd"/>
      <w:r w:rsidR="00AC45E5">
        <w:rPr>
          <w:lang w:val="en-US"/>
        </w:rPr>
        <w:t xml:space="preserve"> to reduce the residual magnetic field down to an acceptable level.</w:t>
      </w:r>
    </w:p>
    <w:p w:rsidR="00AC45E5" w:rsidRDefault="00AC45E5">
      <w:pPr>
        <w:rPr>
          <w:lang w:val="en-US"/>
        </w:rPr>
      </w:pPr>
      <w:proofErr w:type="gramStart"/>
      <w:r>
        <w:rPr>
          <w:lang w:val="en-US"/>
        </w:rPr>
        <w:lastRenderedPageBreak/>
        <w:t>Over the test duration, we successively improved the magnetic shielding in steps and document the effect below.</w:t>
      </w:r>
      <w:proofErr w:type="gramEnd"/>
      <w:r>
        <w:rPr>
          <w:lang w:val="en-US"/>
        </w:rPr>
        <w:t xml:space="preserve"> While the residual field could not be measured in-situ, calculation of the residual field vectors </w:t>
      </w:r>
      <w:proofErr w:type="gramStart"/>
      <w:r>
        <w:rPr>
          <w:lang w:val="en-US"/>
        </w:rPr>
        <w:t>were performed</w:t>
      </w:r>
      <w:proofErr w:type="gramEnd"/>
      <w:r>
        <w:rPr>
          <w:lang w:val="en-US"/>
        </w:rPr>
        <w:t xml:space="preserve"> and the shielding structure was subjected to measurements in a test magnet</w:t>
      </w:r>
      <w:r w:rsidR="007D7EF7">
        <w:rPr>
          <w:lang w:val="en-US"/>
        </w:rPr>
        <w:t xml:space="preserve"> setup thereafter</w:t>
      </w:r>
      <w:r>
        <w:rPr>
          <w:lang w:val="en-US"/>
        </w:rPr>
        <w:t>.</w:t>
      </w:r>
    </w:p>
    <w:p w:rsidR="00A81417" w:rsidRDefault="00A81417">
      <w:pPr>
        <w:rPr>
          <w:lang w:val="en-US"/>
        </w:rPr>
      </w:pPr>
    </w:p>
    <w:p w:rsidR="004327D4" w:rsidRPr="004327D4" w:rsidRDefault="004327D4">
      <w:pPr>
        <w:rPr>
          <w:b/>
          <w:lang w:val="en-US"/>
        </w:rPr>
      </w:pPr>
      <w:r w:rsidRPr="004327D4">
        <w:rPr>
          <w:b/>
          <w:lang w:val="en-US"/>
        </w:rPr>
        <w:t>Dynamic range dependence on pressure</w:t>
      </w:r>
    </w:p>
    <w:p w:rsidR="004327D4" w:rsidRDefault="004327D4">
      <w:pPr>
        <w:rPr>
          <w:lang w:val="en-US"/>
        </w:rPr>
      </w:pPr>
      <w:r>
        <w:rPr>
          <w:lang w:val="en-US"/>
        </w:rPr>
        <w:t xml:space="preserve">The TOF-MS </w:t>
      </w:r>
      <w:proofErr w:type="gramStart"/>
      <w:r>
        <w:rPr>
          <w:lang w:val="en-US"/>
        </w:rPr>
        <w:t>is designed</w:t>
      </w:r>
      <w:proofErr w:type="gramEnd"/>
      <w:r>
        <w:rPr>
          <w:lang w:val="en-US"/>
        </w:rPr>
        <w:t xml:space="preserve"> for pressures up to 1e-3 Pa</w:t>
      </w:r>
    </w:p>
    <w:p w:rsidR="004327D4" w:rsidRDefault="004327D4">
      <w:pPr>
        <w:rPr>
          <w:lang w:val="en-US"/>
        </w:rPr>
      </w:pPr>
      <w:r>
        <w:rPr>
          <w:lang w:val="en-US"/>
        </w:rPr>
        <w:t>Higher pressure means higher signal</w:t>
      </w:r>
    </w:p>
    <w:p w:rsidR="004327D4" w:rsidRDefault="004327D4">
      <w:pPr>
        <w:rPr>
          <w:lang w:val="en-US"/>
        </w:rPr>
      </w:pPr>
      <w:r>
        <w:rPr>
          <w:lang w:val="en-US"/>
        </w:rPr>
        <w:t>Sudden changes in pressure can lead to safety deactivation of the instrument</w:t>
      </w:r>
      <w:r w:rsidR="00CA7C7C">
        <w:rPr>
          <w:lang w:val="en-US"/>
        </w:rPr>
        <w:t xml:space="preserve"> </w:t>
      </w:r>
    </w:p>
    <w:p w:rsidR="00390C61" w:rsidRPr="009E0299" w:rsidRDefault="00390C61">
      <w:pPr>
        <w:rPr>
          <w:color w:val="FF0000"/>
          <w:lang w:val="en-US"/>
        </w:rPr>
      </w:pPr>
      <w:proofErr w:type="gramStart"/>
      <w:r w:rsidRPr="009E0299">
        <w:rPr>
          <w:color w:val="FF0000"/>
          <w:lang w:val="en-US"/>
        </w:rPr>
        <w:t xml:space="preserve">(ANALYSIS HINT: take data from 20230307 where we reach transient saturation at some point and a short </w:t>
      </w:r>
      <w:proofErr w:type="spellStart"/>
      <w:r w:rsidRPr="009E0299">
        <w:rPr>
          <w:color w:val="FF0000"/>
          <w:lang w:val="en-US"/>
        </w:rPr>
        <w:t>pumpdown</w:t>
      </w:r>
      <w:proofErr w:type="spellEnd"/>
      <w:r w:rsidRPr="009E0299">
        <w:rPr>
          <w:color w:val="FF0000"/>
          <w:lang w:val="en-US"/>
        </w:rPr>
        <w:t xml:space="preserve"> at ~12:57CET reduces pressure and signal drastically</w:t>
      </w:r>
      <w:r w:rsidR="003F7E53" w:rsidRPr="009E0299">
        <w:rPr>
          <w:color w:val="FF0000"/>
          <w:lang w:val="en-US"/>
        </w:rPr>
        <w:t>; see also data taken on 2023-03-09: stepwise h2 pressure increase up to saturation, subsequent tuning-down of the gain, and pressure increase up to 1e-5mbar, gain scan at elevated pressures and a comparison with the ITMS and its spectra</w:t>
      </w:r>
      <w:r w:rsidR="004144B9" w:rsidRPr="009E0299">
        <w:rPr>
          <w:color w:val="FF0000"/>
          <w:lang w:val="en-US"/>
        </w:rPr>
        <w:t>; see also 50ks=13.9h integration spectrum @~2e-8mbar 20230309</w:t>
      </w:r>
      <w:r w:rsidRPr="009E0299">
        <w:rPr>
          <w:color w:val="FF0000"/>
          <w:lang w:val="en-US"/>
        </w:rPr>
        <w:t>)</w:t>
      </w:r>
      <w:proofErr w:type="gramEnd"/>
    </w:p>
    <w:p w:rsidR="004327D4" w:rsidRDefault="004327D4">
      <w:pPr>
        <w:rPr>
          <w:lang w:val="en-US"/>
        </w:rPr>
      </w:pPr>
    </w:p>
    <w:p w:rsidR="00CA7C7C" w:rsidRPr="00CA7C7C" w:rsidRDefault="00CA7C7C">
      <w:pPr>
        <w:rPr>
          <w:b/>
          <w:lang w:val="en-US"/>
        </w:rPr>
      </w:pPr>
      <w:r w:rsidRPr="00CA7C7C">
        <w:rPr>
          <w:b/>
          <w:lang w:val="en-US"/>
        </w:rPr>
        <w:t>Time response</w:t>
      </w:r>
    </w:p>
    <w:p w:rsidR="00CA7C7C" w:rsidRDefault="00CA7C7C">
      <w:pPr>
        <w:rPr>
          <w:lang w:val="en-US"/>
        </w:rPr>
      </w:pPr>
      <w:r>
        <w:rPr>
          <w:lang w:val="en-US"/>
        </w:rPr>
        <w:t xml:space="preserve">Observing gas dynamics in the fusion exhaust requires a sub-second time resolution, which is often detrimental to dynamic range of instruments, as longer integration times give higher signal-to-noise ratio. The ITFA in its present </w:t>
      </w:r>
    </w:p>
    <w:p w:rsidR="00CA7C7C" w:rsidRDefault="00CA7C7C">
      <w:pPr>
        <w:rPr>
          <w:lang w:val="en-US"/>
        </w:rPr>
      </w:pPr>
    </w:p>
    <w:p w:rsidR="00CA7C7C" w:rsidRDefault="00CA7C7C">
      <w:pPr>
        <w:rPr>
          <w:lang w:val="en-US"/>
        </w:rPr>
      </w:pPr>
    </w:p>
    <w:p w:rsidR="00CA6025" w:rsidRPr="007E4177" w:rsidRDefault="00580DAA">
      <w:pPr>
        <w:rPr>
          <w:b/>
          <w:lang w:val="en-US"/>
        </w:rPr>
      </w:pPr>
      <w:r w:rsidRPr="007E4177">
        <w:rPr>
          <w:b/>
          <w:lang w:val="en-US"/>
        </w:rPr>
        <w:t>Observation of isotope</w:t>
      </w:r>
      <w:r w:rsidR="00245C75" w:rsidRPr="007E4177">
        <w:rPr>
          <w:b/>
          <w:lang w:val="en-US"/>
        </w:rPr>
        <w:t>s in common molecules</w:t>
      </w:r>
    </w:p>
    <w:p w:rsidR="00245C75" w:rsidRDefault="00245C75">
      <w:pPr>
        <w:rPr>
          <w:lang w:val="en-US"/>
        </w:rPr>
      </w:pPr>
      <w:r>
        <w:rPr>
          <w:lang w:val="en-US"/>
        </w:rPr>
        <w:t xml:space="preserve">While W7X does currently only run Hydrogen, and neither Deuterium nor Tritium is present in the machine, the question of deuterated and </w:t>
      </w:r>
      <w:proofErr w:type="spellStart"/>
      <w:r>
        <w:rPr>
          <w:lang w:val="en-US"/>
        </w:rPr>
        <w:t>tritiated</w:t>
      </w:r>
      <w:proofErr w:type="spellEnd"/>
      <w:r>
        <w:rPr>
          <w:lang w:val="en-US"/>
        </w:rPr>
        <w:t xml:space="preserve"> molecules poses itself in view of Deuterium-Tritium fuel foreseen for reactors. W7X is planning for Deuterium operation in the next years, Tritium </w:t>
      </w:r>
      <w:proofErr w:type="gramStart"/>
      <w:r>
        <w:rPr>
          <w:lang w:val="en-US"/>
        </w:rPr>
        <w:t>will be utilized</w:t>
      </w:r>
      <w:proofErr w:type="gramEnd"/>
      <w:r>
        <w:rPr>
          <w:lang w:val="en-US"/>
        </w:rPr>
        <w:t xml:space="preserve"> in ITER and beyond. Identifying fuel-carrying molecules and precisely accounting for fuel will be a relevant and challenging part of the fusion fuel cycle.</w:t>
      </w:r>
    </w:p>
    <w:p w:rsidR="00245C75" w:rsidRDefault="00245C75">
      <w:pPr>
        <w:rPr>
          <w:lang w:val="en-US"/>
        </w:rPr>
      </w:pPr>
      <w:r>
        <w:rPr>
          <w:lang w:val="en-US"/>
        </w:rPr>
        <w:t>While new developments [</w:t>
      </w:r>
      <w:r w:rsidR="007E4177">
        <w:rPr>
          <w:lang w:val="en-US"/>
        </w:rPr>
        <w:t>6</w:t>
      </w:r>
      <w:r>
        <w:rPr>
          <w:lang w:val="en-US"/>
        </w:rPr>
        <w:t xml:space="preserve">] promise to extract over 90% of the Tritium via </w:t>
      </w:r>
      <w:r w:rsidR="000108C4">
        <w:rPr>
          <w:lang w:val="en-US"/>
        </w:rPr>
        <w:t xml:space="preserve">direct internal recycling, the remaining mixture remains to be </w:t>
      </w:r>
      <w:proofErr w:type="gramStart"/>
      <w:r w:rsidR="000108C4">
        <w:rPr>
          <w:lang w:val="en-US"/>
        </w:rPr>
        <w:t>analyzed</w:t>
      </w:r>
      <w:proofErr w:type="gramEnd"/>
      <w:r w:rsidR="000108C4">
        <w:rPr>
          <w:lang w:val="en-US"/>
        </w:rPr>
        <w:t xml:space="preserve"> and monitored.</w:t>
      </w:r>
    </w:p>
    <w:p w:rsidR="000108C4" w:rsidRDefault="007E4177">
      <w:pPr>
        <w:rPr>
          <w:lang w:val="en-US"/>
        </w:rPr>
      </w:pPr>
      <w:r>
        <w:rPr>
          <w:lang w:val="en-US"/>
        </w:rPr>
        <w:t xml:space="preserve">Due to the </w:t>
      </w:r>
      <w:r w:rsidR="007C210C">
        <w:rPr>
          <w:lang w:val="en-US"/>
        </w:rPr>
        <w:t>unavailability</w:t>
      </w:r>
      <w:r>
        <w:rPr>
          <w:lang w:val="en-US"/>
        </w:rPr>
        <w:t xml:space="preserve"> of D and T in the experimental setup, simulations </w:t>
      </w:r>
      <w:proofErr w:type="gramStart"/>
      <w:r>
        <w:rPr>
          <w:lang w:val="en-US"/>
        </w:rPr>
        <w:t>have been performed</w:t>
      </w:r>
      <w:proofErr w:type="gramEnd"/>
      <w:r>
        <w:rPr>
          <w:lang w:val="en-US"/>
        </w:rPr>
        <w:t xml:space="preserve"> and are presented here along with measurements as a prediction of the TOF-MS capabilities in this regard.</w:t>
      </w:r>
    </w:p>
    <w:p w:rsidR="007E4177" w:rsidRDefault="007E4177">
      <w:pPr>
        <w:rPr>
          <w:lang w:val="en-US"/>
        </w:rPr>
      </w:pPr>
    </w:p>
    <w:p w:rsidR="007C210C" w:rsidRPr="00EE4EF5" w:rsidRDefault="007C210C">
      <w:pPr>
        <w:rPr>
          <w:b/>
          <w:lang w:val="en-US"/>
        </w:rPr>
      </w:pPr>
      <w:r w:rsidRPr="00EE4EF5">
        <w:rPr>
          <w:b/>
          <w:lang w:val="en-US"/>
        </w:rPr>
        <w:t>Other notable findings</w:t>
      </w:r>
    </w:p>
    <w:p w:rsidR="007C210C" w:rsidRDefault="007C210C">
      <w:pPr>
        <w:rPr>
          <w:lang w:val="en-US"/>
        </w:rPr>
      </w:pPr>
      <w:r>
        <w:rPr>
          <w:lang w:val="en-US"/>
        </w:rPr>
        <w:t>During operation of the ITFA in hydrogen-dominated sampling gas a prominent mass peak at m/z=3.024 was reliably observed. This corresponds to thrice the hydrogen mass and relates to H3+, a molecule long known and special relevance in astrophysics. According to literature, it forms with a proton transfer process H</w:t>
      </w:r>
      <w:r w:rsidRPr="007C210C">
        <w:rPr>
          <w:vertAlign w:val="subscript"/>
          <w:lang w:val="en-US"/>
        </w:rPr>
        <w:t>2</w:t>
      </w:r>
      <w:r>
        <w:rPr>
          <w:lang w:val="en-US"/>
        </w:rPr>
        <w:t xml:space="preserve"> + H</w:t>
      </w:r>
      <w:r w:rsidRPr="007C210C">
        <w:rPr>
          <w:vertAlign w:val="subscript"/>
          <w:lang w:val="en-US"/>
        </w:rPr>
        <w:t>2</w:t>
      </w:r>
      <w:r w:rsidRPr="007C210C">
        <w:rPr>
          <w:vertAlign w:val="superscript"/>
          <w:lang w:val="en-US"/>
        </w:rPr>
        <w:t>+</w:t>
      </w:r>
      <w:r>
        <w:rPr>
          <w:lang w:val="en-US"/>
        </w:rPr>
        <w:t xml:space="preserve"> </w:t>
      </w:r>
      <w:r w:rsidRPr="007C210C">
        <w:rPr>
          <w:lang w:val="en-US"/>
        </w:rPr>
        <w:sym w:font="Wingdings" w:char="F0E0"/>
      </w:r>
      <w:r>
        <w:rPr>
          <w:lang w:val="en-US"/>
        </w:rPr>
        <w:t xml:space="preserve"> H</w:t>
      </w:r>
      <w:r w:rsidRPr="007C210C">
        <w:rPr>
          <w:vertAlign w:val="subscript"/>
          <w:lang w:val="en-US"/>
        </w:rPr>
        <w:t>3</w:t>
      </w:r>
      <w:r w:rsidRPr="007C210C">
        <w:rPr>
          <w:vertAlign w:val="superscript"/>
          <w:lang w:val="en-US"/>
        </w:rPr>
        <w:t>+</w:t>
      </w:r>
      <w:r>
        <w:rPr>
          <w:lang w:val="en-US"/>
        </w:rPr>
        <w:t xml:space="preserve"> + </w:t>
      </w:r>
      <w:proofErr w:type="gramStart"/>
      <w:r>
        <w:rPr>
          <w:lang w:val="en-US"/>
        </w:rPr>
        <w:t>H</w:t>
      </w:r>
      <w:r w:rsidR="002921AD">
        <w:rPr>
          <w:lang w:val="en-US"/>
        </w:rPr>
        <w:t xml:space="preserve"> which</w:t>
      </w:r>
      <w:proofErr w:type="gramEnd"/>
      <w:r w:rsidR="002921AD">
        <w:rPr>
          <w:lang w:val="en-US"/>
        </w:rPr>
        <w:t xml:space="preserve"> occurs in the ITFA analyzer. This effect is well-documented [</w:t>
      </w:r>
      <w:proofErr w:type="gramStart"/>
      <w:r w:rsidR="002921AD">
        <w:rPr>
          <w:lang w:val="en-US"/>
        </w:rPr>
        <w:t>4</w:t>
      </w:r>
      <w:proofErr w:type="gramEnd"/>
      <w:r w:rsidR="002921AD">
        <w:rPr>
          <w:lang w:val="en-US"/>
        </w:rPr>
        <w:t>] but not common knowledge.</w:t>
      </w:r>
    </w:p>
    <w:p w:rsidR="007C210C" w:rsidRPr="00210A5F" w:rsidRDefault="007C210C">
      <w:pPr>
        <w:rPr>
          <w:lang w:val="en-US"/>
        </w:rPr>
      </w:pPr>
    </w:p>
    <w:p w:rsidR="0009445A" w:rsidRPr="007C210C" w:rsidRDefault="007C210C">
      <w:pPr>
        <w:rPr>
          <w:b/>
          <w:lang w:val="en-US"/>
        </w:rPr>
      </w:pPr>
      <w:r w:rsidRPr="007C210C">
        <w:rPr>
          <w:b/>
          <w:lang w:val="en-US"/>
        </w:rPr>
        <w:t>Discussion</w:t>
      </w:r>
    </w:p>
    <w:p w:rsidR="007C210C" w:rsidRDefault="007C210C">
      <w:pPr>
        <w:rPr>
          <w:lang w:val="en-US"/>
        </w:rPr>
      </w:pPr>
    </w:p>
    <w:p w:rsidR="000C5A04" w:rsidRDefault="000C5A04">
      <w:pPr>
        <w:rPr>
          <w:lang w:val="en-US"/>
        </w:rPr>
      </w:pPr>
      <w:r>
        <w:rPr>
          <w:lang w:val="en-US"/>
        </w:rPr>
        <w:t xml:space="preserve">Future development of the ITFA and its analysis tools </w:t>
      </w:r>
      <w:proofErr w:type="gramStart"/>
      <w:r>
        <w:rPr>
          <w:lang w:val="en-US"/>
        </w:rPr>
        <w:t>are planned</w:t>
      </w:r>
      <w:proofErr w:type="gramEnd"/>
      <w:r>
        <w:rPr>
          <w:lang w:val="en-US"/>
        </w:rPr>
        <w:t>, with features like mass range selection.</w:t>
      </w:r>
    </w:p>
    <w:p w:rsidR="007E4177" w:rsidRDefault="007E4177">
      <w:pPr>
        <w:rPr>
          <w:lang w:val="en-US"/>
        </w:rPr>
      </w:pPr>
    </w:p>
    <w:p w:rsidR="00FA149D" w:rsidRPr="00FA149D" w:rsidRDefault="00FA149D">
      <w:pPr>
        <w:rPr>
          <w:b/>
          <w:lang w:val="en-US"/>
        </w:rPr>
      </w:pPr>
      <w:r w:rsidRPr="00FA149D">
        <w:rPr>
          <w:b/>
          <w:lang w:val="en-US"/>
        </w:rPr>
        <w:t>Declaration of the authors</w:t>
      </w:r>
    </w:p>
    <w:p w:rsidR="00FA149D" w:rsidRDefault="002C48CC">
      <w:pPr>
        <w:rPr>
          <w:lang w:val="en-US"/>
        </w:rPr>
      </w:pPr>
      <w:r>
        <w:rPr>
          <w:lang w:val="en-US"/>
        </w:rPr>
        <w:t xml:space="preserve">The authors declare that </w:t>
      </w:r>
      <w:proofErr w:type="gramStart"/>
      <w:r>
        <w:rPr>
          <w:lang w:val="en-US"/>
        </w:rPr>
        <w:t>SG</w:t>
      </w:r>
      <w:r w:rsidR="00FA149D">
        <w:rPr>
          <w:lang w:val="en-US"/>
        </w:rPr>
        <w:t xml:space="preserve"> and LH are employed by </w:t>
      </w:r>
      <w:proofErr w:type="spellStart"/>
      <w:r w:rsidR="00FA149D">
        <w:rPr>
          <w:lang w:val="en-US"/>
        </w:rPr>
        <w:t>Spacetek</w:t>
      </w:r>
      <w:proofErr w:type="spellEnd"/>
      <w:r w:rsidR="00FA149D">
        <w:rPr>
          <w:lang w:val="en-US"/>
        </w:rPr>
        <w:t xml:space="preserve"> Technologies AG, manufacturer and marketer of the discussed </w:t>
      </w:r>
      <w:r>
        <w:rPr>
          <w:lang w:val="en-US"/>
        </w:rPr>
        <w:t>ITFA</w:t>
      </w:r>
      <w:proofErr w:type="gramEnd"/>
      <w:r w:rsidR="00FA149D">
        <w:rPr>
          <w:lang w:val="en-US"/>
        </w:rPr>
        <w:t>.</w:t>
      </w:r>
    </w:p>
    <w:p w:rsidR="00FA149D" w:rsidRDefault="00FA149D">
      <w:pPr>
        <w:rPr>
          <w:lang w:val="en-US"/>
        </w:rPr>
      </w:pPr>
    </w:p>
    <w:p w:rsidR="004F501E" w:rsidRPr="004F501E" w:rsidRDefault="004F501E">
      <w:pPr>
        <w:rPr>
          <w:b/>
          <w:lang w:val="en-US"/>
        </w:rPr>
      </w:pPr>
      <w:r w:rsidRPr="004F501E">
        <w:rPr>
          <w:b/>
          <w:lang w:val="en-US"/>
        </w:rPr>
        <w:t>Acknowledgements</w:t>
      </w:r>
    </w:p>
    <w:p w:rsidR="004F501E" w:rsidRDefault="004F501E">
      <w:pPr>
        <w:rPr>
          <w:lang w:val="en-US"/>
        </w:rPr>
      </w:pPr>
      <w:r>
        <w:rPr>
          <w:lang w:val="en-US"/>
        </w:rPr>
        <w:t xml:space="preserve">The authors with to acknowledge the support of S. </w:t>
      </w:r>
      <w:proofErr w:type="spellStart"/>
      <w:r>
        <w:rPr>
          <w:lang w:val="en-US"/>
        </w:rPr>
        <w:t>Vartanian</w:t>
      </w:r>
      <w:proofErr w:type="spellEnd"/>
      <w:r>
        <w:rPr>
          <w:lang w:val="en-US"/>
        </w:rPr>
        <w:t xml:space="preserve"> and E. Gauthier for discussions on H3+. The authors further wish to acknowledge the fine lab work of A. </w:t>
      </w:r>
      <w:proofErr w:type="spellStart"/>
      <w:r>
        <w:rPr>
          <w:lang w:val="en-US"/>
        </w:rPr>
        <w:t>Graband</w:t>
      </w:r>
      <w:proofErr w:type="spellEnd"/>
      <w:r>
        <w:rPr>
          <w:lang w:val="en-US"/>
        </w:rPr>
        <w:t xml:space="preserve"> </w:t>
      </w:r>
      <w:r w:rsidR="002C48CC">
        <w:rPr>
          <w:lang w:val="en-US"/>
        </w:rPr>
        <w:t>in support of the ITFA test, especially with regard to</w:t>
      </w:r>
      <w:r>
        <w:rPr>
          <w:lang w:val="en-US"/>
        </w:rPr>
        <w:t xml:space="preserve"> the magnetic shielding.</w:t>
      </w:r>
    </w:p>
    <w:p w:rsidR="004F501E" w:rsidRPr="004F501E" w:rsidRDefault="000108C4" w:rsidP="004F501E">
      <w:pPr>
        <w:rPr>
          <w:lang w:val="en-US"/>
        </w:rPr>
      </w:pPr>
      <w:r>
        <w:rPr>
          <w:i/>
          <w:iCs/>
          <w:color w:val="000000"/>
          <w:shd w:val="clear" w:color="auto" w:fill="FEFEFE"/>
          <w:lang w:val="en-GB"/>
        </w:rPr>
        <w:t xml:space="preserve">This work has been carried out within the framework of the </w:t>
      </w:r>
      <w:proofErr w:type="spellStart"/>
      <w:r>
        <w:rPr>
          <w:i/>
          <w:iCs/>
          <w:color w:val="000000"/>
          <w:shd w:val="clear" w:color="auto" w:fill="FEFEFE"/>
          <w:lang w:val="en-GB"/>
        </w:rPr>
        <w:t>EUROfusion</w:t>
      </w:r>
      <w:proofErr w:type="spellEnd"/>
      <w:r>
        <w:rPr>
          <w:i/>
          <w:iCs/>
          <w:color w:val="000000"/>
          <w:shd w:val="clear" w:color="auto" w:fill="FEFEFE"/>
          <w:lang w:val="en-GB"/>
        </w:rPr>
        <w:t xml:space="preserve"> Consortium, funded by the European Union via the </w:t>
      </w:r>
      <w:proofErr w:type="spellStart"/>
      <w:r>
        <w:rPr>
          <w:i/>
          <w:iCs/>
          <w:color w:val="000000"/>
          <w:shd w:val="clear" w:color="auto" w:fill="FEFEFE"/>
          <w:lang w:val="en-GB"/>
        </w:rPr>
        <w:t>Euratom</w:t>
      </w:r>
      <w:proofErr w:type="spellEnd"/>
      <w:r>
        <w:rPr>
          <w:i/>
          <w:iCs/>
          <w:color w:val="000000"/>
          <w:shd w:val="clear" w:color="auto" w:fill="FEFEFE"/>
          <w:lang w:val="en-GB"/>
        </w:rPr>
        <w:t xml:space="preserve"> Research and Training Programme (Grant Agreement No 101052200 — </w:t>
      </w:r>
      <w:proofErr w:type="spellStart"/>
      <w:r>
        <w:rPr>
          <w:i/>
          <w:iCs/>
          <w:color w:val="000000"/>
          <w:shd w:val="clear" w:color="auto" w:fill="FEFEFE"/>
          <w:lang w:val="en-GB"/>
        </w:rPr>
        <w:t>EUROfusion</w:t>
      </w:r>
      <w:proofErr w:type="spellEnd"/>
      <w:r>
        <w:rPr>
          <w:i/>
          <w:iCs/>
          <w:color w:val="000000"/>
          <w:shd w:val="clear" w:color="auto" w:fill="FEFEFE"/>
          <w:lang w:val="en-GB"/>
        </w:rPr>
        <w:t xml:space="preserve">). Views and opinions expressed are however those of the author(s) only and do not necessarily reflect those of the European Union or the European Commission. Neither the European Union nor the European Commission </w:t>
      </w:r>
      <w:proofErr w:type="gramStart"/>
      <w:r>
        <w:rPr>
          <w:i/>
          <w:iCs/>
          <w:color w:val="000000"/>
          <w:shd w:val="clear" w:color="auto" w:fill="FEFEFE"/>
          <w:lang w:val="en-GB"/>
        </w:rPr>
        <w:t>can be held</w:t>
      </w:r>
      <w:proofErr w:type="gramEnd"/>
      <w:r>
        <w:rPr>
          <w:i/>
          <w:iCs/>
          <w:color w:val="000000"/>
          <w:shd w:val="clear" w:color="auto" w:fill="FEFEFE"/>
          <w:lang w:val="en-GB"/>
        </w:rPr>
        <w:t xml:space="preserve"> responsible for them.</w:t>
      </w:r>
    </w:p>
    <w:p w:rsidR="004F501E" w:rsidRPr="00210A5F" w:rsidRDefault="004F501E">
      <w:pPr>
        <w:rPr>
          <w:lang w:val="en-US"/>
        </w:rPr>
      </w:pPr>
    </w:p>
    <w:p w:rsidR="0009445A" w:rsidRPr="00FA149D" w:rsidRDefault="0009445A">
      <w:pPr>
        <w:rPr>
          <w:b/>
          <w:lang w:val="en-US"/>
        </w:rPr>
      </w:pPr>
      <w:r w:rsidRPr="00FA149D">
        <w:rPr>
          <w:b/>
          <w:lang w:val="en-US"/>
        </w:rPr>
        <w:t>References</w:t>
      </w:r>
    </w:p>
    <w:p w:rsidR="0009445A" w:rsidRDefault="004F501E">
      <w:pPr>
        <w:rPr>
          <w:lang w:val="en-US"/>
        </w:rPr>
      </w:pPr>
      <w:r>
        <w:rPr>
          <w:lang w:val="en-US"/>
        </w:rPr>
        <w:t>[1</w:t>
      </w:r>
      <w:r w:rsidR="00FA149D">
        <w:rPr>
          <w:lang w:val="en-US"/>
        </w:rPr>
        <w:t xml:space="preserve">] </w:t>
      </w:r>
      <w:r w:rsidR="0009445A" w:rsidRPr="0009445A">
        <w:rPr>
          <w:lang w:val="en-US"/>
        </w:rPr>
        <w:t xml:space="preserve">S. </w:t>
      </w:r>
      <w:proofErr w:type="spellStart"/>
      <w:r w:rsidR="0009445A" w:rsidRPr="0009445A">
        <w:rPr>
          <w:lang w:val="en-US"/>
        </w:rPr>
        <w:t>Gasc</w:t>
      </w:r>
      <w:proofErr w:type="spellEnd"/>
      <w:r w:rsidR="0009445A" w:rsidRPr="0009445A">
        <w:rPr>
          <w:lang w:val="en-US"/>
        </w:rPr>
        <w:t xml:space="preserve">, L. Hofer, </w:t>
      </w:r>
      <w:proofErr w:type="spellStart"/>
      <w:r w:rsidR="0009445A">
        <w:rPr>
          <w:lang w:val="en-US"/>
        </w:rPr>
        <w:t>Chimia</w:t>
      </w:r>
      <w:proofErr w:type="spellEnd"/>
      <w:r w:rsidR="0009445A">
        <w:rPr>
          <w:lang w:val="en-US"/>
        </w:rPr>
        <w:t xml:space="preserve"> 2022, DOI: </w:t>
      </w:r>
      <w:r w:rsidR="0009445A" w:rsidRPr="0009445A">
        <w:rPr>
          <w:lang w:val="en-US"/>
        </w:rPr>
        <w:t>10.2533/chimia.2022.52</w:t>
      </w:r>
    </w:p>
    <w:p w:rsidR="0009445A" w:rsidRDefault="004F501E">
      <w:r>
        <w:t>[2</w:t>
      </w:r>
      <w:r w:rsidR="00FA149D">
        <w:t xml:space="preserve">] </w:t>
      </w:r>
      <w:r w:rsidR="0009445A" w:rsidRPr="0009445A">
        <w:t>G. Schlisio et al, RSI 2019</w:t>
      </w:r>
      <w:r w:rsidR="00AF5D23">
        <w:t xml:space="preserve">, DOI: </w:t>
      </w:r>
      <w:hyperlink r:id="rId5" w:tgtFrame="_blank" w:history="1">
        <w:r w:rsidR="00AF5D23">
          <w:rPr>
            <w:rStyle w:val="Hyperlink"/>
          </w:rPr>
          <w:t xml:space="preserve">10.1063/1.5098125 </w:t>
        </w:r>
      </w:hyperlink>
    </w:p>
    <w:p w:rsidR="00AF5D23" w:rsidRDefault="004F501E">
      <w:r>
        <w:t>[3</w:t>
      </w:r>
      <w:r w:rsidR="00FA149D">
        <w:t xml:space="preserve">] </w:t>
      </w:r>
      <w:r w:rsidR="00AF5D23">
        <w:t xml:space="preserve">G. Schlisio et al, NF 2021, DOI: </w:t>
      </w:r>
      <w:r w:rsidR="00AF5D23" w:rsidRPr="00AF5D23">
        <w:t>10.1088/1741-4326/abd63f</w:t>
      </w:r>
    </w:p>
    <w:p w:rsidR="004F501E" w:rsidRPr="00390C61" w:rsidRDefault="004F501E">
      <w:pPr>
        <w:rPr>
          <w:lang w:val="en-US"/>
        </w:rPr>
      </w:pPr>
      <w:r w:rsidRPr="004F501E">
        <w:rPr>
          <w:lang w:val="en-US"/>
        </w:rPr>
        <w:t xml:space="preserve">[4] </w:t>
      </w:r>
      <w:r>
        <w:rPr>
          <w:lang w:val="en-US"/>
        </w:rPr>
        <w:t xml:space="preserve">E. </w:t>
      </w:r>
      <w:r w:rsidRPr="004F501E">
        <w:rPr>
          <w:lang w:val="en-US"/>
        </w:rPr>
        <w:t xml:space="preserve">Gauthier, (1995). Quantitative analysis of deuterium and helium after plasma shots by means of resolved mass spectrometry (EUR-CEA-FC--1557). </w:t>
      </w:r>
      <w:r w:rsidRPr="00390C61">
        <w:rPr>
          <w:lang w:val="en-US"/>
        </w:rPr>
        <w:t>France (https://inis.iaea.org/search/search.aspx?orig_q=RN:27073670)</w:t>
      </w:r>
    </w:p>
    <w:p w:rsidR="004F501E" w:rsidRDefault="004F501E" w:rsidP="004F501E">
      <w:pPr>
        <w:rPr>
          <w:lang w:val="en-US"/>
        </w:rPr>
      </w:pPr>
      <w:r>
        <w:rPr>
          <w:lang w:val="en-US"/>
        </w:rPr>
        <w:t xml:space="preserve">[5] </w:t>
      </w:r>
      <w:r w:rsidRPr="00904FA5">
        <w:rPr>
          <w:lang w:val="en-US"/>
        </w:rPr>
        <w:t xml:space="preserve">McCall </w:t>
      </w:r>
      <w:proofErr w:type="spellStart"/>
      <w:r w:rsidRPr="00904FA5">
        <w:rPr>
          <w:lang w:val="en-US"/>
        </w:rPr>
        <w:t>Phil.Trans.R.Soc.Lond.A</w:t>
      </w:r>
      <w:proofErr w:type="spellEnd"/>
      <w:r w:rsidRPr="00904FA5">
        <w:rPr>
          <w:lang w:val="en-US"/>
        </w:rPr>
        <w:t xml:space="preserve"> 2000, DOI: 10.1098/rsta.2000.0655 (H3+ spectroscopy)</w:t>
      </w:r>
    </w:p>
    <w:p w:rsidR="007E4177" w:rsidRPr="00904FA5" w:rsidRDefault="007E4177" w:rsidP="004F501E">
      <w:pPr>
        <w:rPr>
          <w:lang w:val="en-US"/>
        </w:rPr>
      </w:pPr>
      <w:r>
        <w:rPr>
          <w:lang w:val="en-US"/>
        </w:rPr>
        <w:t xml:space="preserve">[6] Day FusEngDes2019 </w:t>
      </w:r>
      <w:hyperlink r:id="rId6" w:history="1">
        <w:r w:rsidRPr="00647292">
          <w:rPr>
            <w:rStyle w:val="Hyperlink"/>
            <w:lang w:val="en-US"/>
          </w:rPr>
          <w:t>https://doi.org/10.1016/j.fusengdes.2019.04.019</w:t>
        </w:r>
      </w:hyperlink>
      <w:r>
        <w:rPr>
          <w:lang w:val="en-US"/>
        </w:rPr>
        <w:t xml:space="preserve"> or </w:t>
      </w:r>
      <w:proofErr w:type="spellStart"/>
      <w:r>
        <w:rPr>
          <w:lang w:val="en-US"/>
        </w:rPr>
        <w:t>Haertl</w:t>
      </w:r>
      <w:proofErr w:type="spellEnd"/>
      <w:r>
        <w:rPr>
          <w:lang w:val="en-US"/>
        </w:rPr>
        <w:t xml:space="preserve"> FusEngDes22 </w:t>
      </w:r>
      <w:hyperlink r:id="rId7" w:history="1">
        <w:r w:rsidRPr="00647292">
          <w:rPr>
            <w:rStyle w:val="Hyperlink"/>
            <w:lang w:val="en-US"/>
          </w:rPr>
          <w:t>https://doi.org/10.1016/j.fusengdes.2021.112969</w:t>
        </w:r>
      </w:hyperlink>
    </w:p>
    <w:p w:rsidR="004F501E" w:rsidRPr="004F501E" w:rsidRDefault="004F501E">
      <w:pPr>
        <w:rPr>
          <w:lang w:val="en-US"/>
        </w:rPr>
      </w:pPr>
    </w:p>
    <w:sectPr w:rsidR="004F501E" w:rsidRPr="004F501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694EB0"/>
    <w:multiLevelType w:val="hybridMultilevel"/>
    <w:tmpl w:val="05109A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80A"/>
    <w:rsid w:val="000108C4"/>
    <w:rsid w:val="000864FA"/>
    <w:rsid w:val="0009445A"/>
    <w:rsid w:val="000C5A04"/>
    <w:rsid w:val="00210A5F"/>
    <w:rsid w:val="00245C75"/>
    <w:rsid w:val="002921AD"/>
    <w:rsid w:val="002C48CC"/>
    <w:rsid w:val="002C7C37"/>
    <w:rsid w:val="00390C61"/>
    <w:rsid w:val="003C7054"/>
    <w:rsid w:val="003F7E53"/>
    <w:rsid w:val="004144B9"/>
    <w:rsid w:val="004327D4"/>
    <w:rsid w:val="004F501E"/>
    <w:rsid w:val="00580DAA"/>
    <w:rsid w:val="00586265"/>
    <w:rsid w:val="00723CEC"/>
    <w:rsid w:val="007C210C"/>
    <w:rsid w:val="007D7EF7"/>
    <w:rsid w:val="007E4177"/>
    <w:rsid w:val="0093744E"/>
    <w:rsid w:val="009E0299"/>
    <w:rsid w:val="00A22338"/>
    <w:rsid w:val="00A81417"/>
    <w:rsid w:val="00AC45E5"/>
    <w:rsid w:val="00AF5D23"/>
    <w:rsid w:val="00B47885"/>
    <w:rsid w:val="00CA6025"/>
    <w:rsid w:val="00CA7C7C"/>
    <w:rsid w:val="00E2780A"/>
    <w:rsid w:val="00EE4EF5"/>
    <w:rsid w:val="00FA14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98A4B"/>
  <w15:chartTrackingRefBased/>
  <w15:docId w15:val="{F317816A-A37F-429E-8401-007747096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AF5D23"/>
    <w:rPr>
      <w:color w:val="0000FF"/>
      <w:u w:val="single"/>
    </w:rPr>
  </w:style>
  <w:style w:type="paragraph" w:styleId="Listenabsatz">
    <w:name w:val="List Paragraph"/>
    <w:basedOn w:val="Standard"/>
    <w:uiPriority w:val="34"/>
    <w:qFormat/>
    <w:rsid w:val="00210A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149961">
      <w:bodyDiv w:val="1"/>
      <w:marLeft w:val="0"/>
      <w:marRight w:val="0"/>
      <w:marTop w:val="0"/>
      <w:marBottom w:val="0"/>
      <w:divBdr>
        <w:top w:val="none" w:sz="0" w:space="0" w:color="auto"/>
        <w:left w:val="none" w:sz="0" w:space="0" w:color="auto"/>
        <w:bottom w:val="none" w:sz="0" w:space="0" w:color="auto"/>
        <w:right w:val="none" w:sz="0" w:space="0" w:color="auto"/>
      </w:divBdr>
    </w:div>
    <w:div w:id="105882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16/j.fusengdes.2021.11296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16/j.fusengdes.2019.04.019" TargetMode="External"/><Relationship Id="rId5" Type="http://schemas.openxmlformats.org/officeDocument/2006/relationships/hyperlink" Target="https://doi.org/10.1063/1.509812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934</Words>
  <Characters>5890</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Max-Planck-Institut f. Plasmaphysik, Greifswald</Company>
  <LinksUpToDate>false</LinksUpToDate>
  <CharactersWithSpaces>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 Schlisio</dc:creator>
  <cp:keywords/>
  <dc:description/>
  <cp:lastModifiedBy>Georg Schlisio</cp:lastModifiedBy>
  <cp:revision>10</cp:revision>
  <dcterms:created xsi:type="dcterms:W3CDTF">2023-01-27T16:46:00Z</dcterms:created>
  <dcterms:modified xsi:type="dcterms:W3CDTF">2023-03-09T13:32:00Z</dcterms:modified>
</cp:coreProperties>
</file>